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52" w:rsidRPr="00365252" w:rsidRDefault="00365252" w:rsidP="00365252">
      <w:pPr>
        <w:spacing w:after="0" w:line="37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О внесении изменений и дополнения в приказ Министра образования и науки Республики Казахстан от 31 марта 2011 года № 127 "Об утверждении Правил присуждения степеней"</w:t>
      </w:r>
    </w:p>
    <w:p w:rsidR="00365252" w:rsidRPr="00365252" w:rsidRDefault="00365252" w:rsidP="00365252">
      <w:pPr>
        <w:spacing w:before="100"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</w:rPr>
        <w:t>Приказ Министра науки и высшего образования Республики Казахстан от 18 июля 2024 года № 352. Зарегистрирован в Министерстве юстиции Республики Казахстан 22 июля 2024 года № 34781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ПРИКАЗЫВАЮ: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1. Внести в </w:t>
      </w:r>
      <w:hyperlink r:id="rId5" w:anchor="z1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приказ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Министра образования и науки Республики Казахстан от 31 марта 2011 года № 127 "Об утверждении Правил присуждения степеней" (зарегистрирован в Реестре государственной регистрации нормативных правовых актов под № 6951) следующие изменения и дополнение: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0" w:name="z6"/>
      <w:bookmarkEnd w:id="0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 </w:t>
      </w:r>
      <w:hyperlink r:id="rId6" w:anchor="z1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преамбулу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приказа изложить в следующей редакции: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"В соответствии с </w:t>
      </w:r>
      <w:hyperlink r:id="rId7" w:anchor="z192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подпунктом 119)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 </w:t>
      </w:r>
      <w:r w:rsidRPr="0036525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</w:rPr>
        <w:t>ПРИКАЗЫВАЮ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:";</w:t>
      </w:r>
      <w:proofErr w:type="gramEnd"/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в </w:t>
      </w:r>
      <w:hyperlink r:id="rId8" w:anchor="z10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Правилах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присуждения степеней, утвержденных указанным приказом: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1" w:name="z9"/>
      <w:bookmarkEnd w:id="1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 </w:t>
      </w:r>
      <w:hyperlink r:id="rId9" w:anchor="z11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 1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изложить в следующей редакции: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"1.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Настоящие Правила присуждения степеней (далее - Правила) разработаны в соответствии с </w:t>
      </w:r>
      <w:hyperlink r:id="rId10" w:anchor="z192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подпунктом 119)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пункта 15 Положения о Министерстве науки и высшего образования Республики Казахстан (далее - Положение о Министерстве), утвержденного постановлением Правительства Республики Казахстан от 19 августа 2022 года № 580 и определяют порядок присуждения степеней доктора философии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PhD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 доктора по профилю.";</w:t>
      </w:r>
      <w:proofErr w:type="gramEnd"/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часть третью </w:t>
      </w:r>
      <w:hyperlink r:id="rId11" w:anchor="z20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пункта 4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изложить в следующей редакции: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"Тема диссертации (на дату ее утверждения) соответствует направлениям развития науки, которые формируются Высшей научно-технической комиссией при Правительстве Республики Казахстан в соответствии с </w:t>
      </w:r>
      <w:hyperlink r:id="rId12" w:anchor="z322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пунктом 3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статьи 20 Закона Республики Казахстан "О науке и технологической политике" и (или) государственным программам (за исключением диссертаций, представленных на признание эквивалентности ученых степеней, полученных за рубежом гражданами Республики Казахстан, иностранцами и лицами без гражданства).";</w:t>
      </w:r>
      <w:proofErr w:type="gramEnd"/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2" w:name="z13"/>
      <w:bookmarkEnd w:id="2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 </w:t>
      </w:r>
      <w:hyperlink r:id="rId13" w:anchor="z21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 5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изложить в следующей редакции: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"5. Диссертация выполняется с соблюдением принципов самостоятельности, внутреннего единства, научной новизны, достоверности и практической ценности и академической честности.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Принцип самостоятельности означает, что диссертация пишется самостоятельно и свидетельствует о личном вкладе автора диссертации в науку, развитие техники и технологий.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Принцип внутреннего единства означает, что диссертация обладает внутренним единством, все разделы и положения диссертации логически взаимосвязаны; научные положения, полученные результаты и рекомендации должны соответствовать поставленным в диссертации целям и задачам. Предложенные автором новые решения (принципы, методы) аргументированы и оценены по сравнению с известными решениями.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Принцип научной новизны означает, что научные результаты, положения, рекомендации и выводы диссертации являются новыми и диссертация содержит: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      новые научно обоснованные теоретические и (или) экспериментальные результаты, совокупность которых квалифицируется как новое научное достижение или имеет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важное значение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для развития конкретных научных направлений;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либо научно обоснованные технические, технологические, экономические или управленческие решения, внедрение которых вносит значительный вклад в развитие экономики страны.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Принцип достоверности означает, что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 (если применимо); для диссертаций, выполненных по естественным, техническим, медицинским, сельскохозяйственным специальностям теоретические выводы, модели, выявленные взаимосвязи и закономерности доказаны и подтверждены экспериментальным исследованием; для специальностей группы "Образование" результаты доказаны на основе педагогического эксперимента (если применимо).</w:t>
      </w:r>
      <w:proofErr w:type="gramEnd"/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Принцип практической ценности диссертации означает, что в диссертации, имеющей прикладное значение, приводятся сведения о практическом использовании полученных автором научных результатов, подтвержденные авторскими свидетельствами, патентами, свидетельствами интеллектуальной собственности, актами внедрения в производство и другими официальными документами, а в диссертации, имеющей теоретическое значение,- рекомендации по использованию научных выводов.</w:t>
      </w:r>
      <w:proofErr w:type="gramEnd"/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Принцип академической честности означает соблюдение автором диссертации прав и законных интересов других авторов, отсутствие: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использования и (или) присваивания текста, идей, гипотез, выводов, методов, результатов исследований, графиков, кодов, картинок или работ других авторов без ссылки на автора и источник заимствования, а также использования текста других авторов с синонимической заменой слов и выражений без изменения смысла, включая использование текста, переведенного с другого языка (плагиат);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фактов использования собственного материала, фактических и цифровых данных без ссылки на самого себя и (или) на источник собственных цитат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автоплагиат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ссылки на несуществующие источники, предоставление недостоверных данных и (или) результатов, записей или сообщения о них (фабрикация);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манипуляции исследовательскими материалами, оборудованием, изображениями, иллюстрациями или процессами, вследствие чего искажаются материалы исследования в диссертации (фальсификация).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Совпадение названий нормативных правовых актов и официальных документов, наименований государственных и иных официальных органов и организаций, общепринятых для соответствующей отрасли науки терминов, определений и понятий, текстов нормативных правовых актов, текстов исследуемых произведений не является плагиатом, если объем и характер их использования не ставят под сомнение самостоятельность выполненной диссертации. Не допускается применение технических 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средств и приемов в целях уменьшения или исключения возможности обнаружения плагиата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.";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3" w:name="z28"/>
      <w:bookmarkEnd w:id="3"/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 </w:t>
      </w:r>
      <w:hyperlink r:id="rId14" w:anchor="z23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 5-1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изложить в следующей редакции: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"5-1. Диссертация представляется в одной из форм: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1) диссертационной работы;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2) серии из не менее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чем двух статей и одного обзора или трех статей, опубликованных в изданиях, входящих в первый и (или) второй квартиль по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импакт-фактору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данным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Journal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Reports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Жорнал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Цитэйшэн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Репортс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компании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Clarivate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Analytics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Кларивэйт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Аналитикс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по одной из научных областей, соответствующих содержанию диссертации. В одной из статей докторант является первым автором или автором для корреспонденции.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При выполнении требований настоящего пункта требования </w:t>
      </w:r>
      <w:hyperlink r:id="rId15" w:anchor="z22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пункта 6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к докторанту не применяются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.";</w:t>
      </w:r>
      <w:proofErr w:type="gramEnd"/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4" w:name="z33"/>
      <w:bookmarkEnd w:id="4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 </w:t>
      </w:r>
      <w:hyperlink r:id="rId16" w:anchor="z22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пункты 6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 </w:t>
      </w:r>
      <w:hyperlink r:id="rId17" w:anchor="z141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6-1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изложить в следующей редакции: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"6.Основные научные результаты диссертации на соискание степени доктора философии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PhD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 доктора по профилю публикуются до защиты диссертации в научных изданиях, включенных в Перечень научных изданий, рекомендуемых для публикации основных результатов научной деятельности (далее – Перечень изданий), и (или) в международном рецензируемом научном журнале.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Международный рецензируемый научный журнал имеет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импакт-фактор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данным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Journal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Reports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Жорнал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Цитэйшэн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Репортс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(далее – JCR (ЖСР) и (или) индексируется в базе данных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Web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of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Science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Collection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Вэб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Коллекшн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(разделы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Arts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Humanities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Index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рт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энд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Хьюманитис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Цитэйшэн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Индекс),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Science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Index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Expanded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Сайенс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Цитэйшэн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Индекс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Экспандид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Social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Sciences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Index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Сошиал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Сайенсиз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Цитэйшэн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Индекс) компании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Clarivate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Analytics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Кларивэйт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налитикс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или имеет определенный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процентиль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CiteScore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СайтСкор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в базе данных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Scopus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Скопус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по одной из научных областей, соответствующих содержанию диссертации.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Требования по публикациям для допуска к защите: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1) не менее 1 (одной) статьи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article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или обзора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review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в международном рецензируемом научном журнале, имеющем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импакт-фактор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данным JCR (ЖСР) и (или) индексируемом в базе данных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Web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of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Science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Collection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Вэб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Коллекшн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(разделы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Arts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Humanities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Index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ртс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энд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Хьюманитис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Цитэйшэн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Индекс),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Science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Index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Expanded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Сайенс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Цитэйшэн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Индекс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Экспандид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Social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Sciences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Index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Сошиал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Сайенсиз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Цитэйшэн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Индекс)) или показатель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процентиль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CiteScore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СайтСкор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не менее 25-ти (двадцати пяти) в базе данных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Scopus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Скопус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и 3 (трех) статей в журналах из Перечня изданий;</w:t>
      </w:r>
      <w:proofErr w:type="gramEnd"/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2) либо не менее 2 (двух) статей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article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или 1 (одной) статьи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article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и 1 (одного) обзора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review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в международных рецензируемых научных журналах, индексируемых в базе данных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Web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of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Science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Collection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Вэб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Коллекшн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(раздел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Arts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Humanities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Index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ртс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энд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Хьюманитис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Цитэйшэн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Индекс)) и (или) входящих в первые три квартиля по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импакт-фактору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данным JCR (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ЖСР) или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процентиль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CiteScore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СайтСкор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не менее 35-ти (тридцати пяти) в базе данных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Scopus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Скопус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  <w:proofErr w:type="gramEnd"/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3) либо наличие главы в монографии (докторанту принадлежат не менее 1 печатного листа), которая издана в издательствах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Elsevier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(Эльзевир),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Brill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Брилл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CRC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Press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(СРС Пресс),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DeGruyter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ДеГрюйтер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Edward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Elgar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Publishing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Эдвар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Элгар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Паблишинг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John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Wiley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&amp;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Sons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(Джон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Уайли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McGraw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Hill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Макроу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Хилл),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Palgrave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Macmillan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Палгрейв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Макмиллан),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Peter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Lang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(Питер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Лэнг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Prentice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Hall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Прентис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Холл),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Routledge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Рутледж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Sage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Publications</w:t>
      </w:r>
      <w:proofErr w:type="spellEnd"/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Сэйдж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Публикейшен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Springer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Nature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(Шпрингер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Нэйчар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Taylor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Francis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(Тейлор и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Фрэнсис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Wolters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Kluwer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Вольтерс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Клувер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(далее - доверенные издательства) или в издательстве университета из топ-100 рейтинга US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News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Best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Global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Universities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Rankings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(ЮС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Ньюс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Бест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Глобал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Юниверситис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Ранкинс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или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Academic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Ranking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of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World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Universities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(Академик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Ранкин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Ворлд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Юниверситис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или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Times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Higher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Education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World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University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(Таймс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Хайр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Эдюкейшн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Ворлд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Юниверсити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proofErr w:type="gramEnd"/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4) либо не менее 1 (одной) статьи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article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в международном рецензируемом научном журнале, имеющем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импакт-фактор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данным JCR (ЖСР) в первых двух квартилях или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процентиль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CiteScore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СайтСкор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не менее 35-ти (тридцати пяти) в базе данных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Scopus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Скопус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и 1 (одной) статьи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Conference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paper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Конфэрэнс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пэйпэр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в материалах международной научной конференции, имеющей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импакт-фактор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данным JCR (ЖСР) и индексируемой в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базе данных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Web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of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Science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Collection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Вэб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Коллекшн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При этом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для докторантов, обучавшихся по образовательным программам (специальностям) групп образовательных программ "8D017 – Подготовка учителей казахского языка и литературы", "D016 – Подготовка педагогов истории" и "8D060 - Филология", "D050 - Философия и этика" и "D053 – История" области подготовки 8D01 Педагогические науки и области подготовки 8D02 Искусство и гуманитарные науки и подготовивших диссертацию по казахскому языку и литературе, казахской филологии, истории Казахстана, казахской философии, допускается наличие: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1) не менее 1 (одной) статьи или обзора в международном рецензируемом научном журнале, индексируемом в базе данных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Web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of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Science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Collection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Вэб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Коллекшн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по разделу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Arts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Humanities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Index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рт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энд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Хьюманитис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Цитэйшэн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Индекс) или имеющем показатель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процентиль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CiteScore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СайтСкор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не менее 25-ти (двадцати пяти) в базе данных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Scopus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Скопус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и 3 (трех) статей в журналах из Перечня изданий;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2) либо не менее 5 (пяти) статей в журналах из Перечня изданий, одна из которых на английском языке, и 2 (двух) выступлений с устным докладом на международных научных конференциях.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В случае наличия одной научной статьи в журнале, входящем в первый квартиль по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импакт-фактору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данным JCR (ЖСР), других публикаций не требуется.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Публикации в международных рецензируемых научных журналах, сборниках конференции соответствуют содержанию диссертации и тематической направленности журнала и конференции, заявленной в указанных базах, публикуются на официальном сайте журнала, имеют тип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Article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(Статья),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Review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(Обзор) или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Article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Press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(Статья в печати),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Conference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Paper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Конфэрэнс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пэйпэр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Proceedings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Просидингз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).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Допускается 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публикация в международных рецензируемых научных журналах, имеющих междисциплинарное направление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Multidisciplinary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Малтидисциплинари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Interdisciplinary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Интердисциплинари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General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Дженерал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Miscellaneous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Мисцеллэниэс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proofErr w:type="gramEnd"/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Квартиль журнала в базе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Web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of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Science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Вэб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Коллекшн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и (или)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процентиль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CiteScore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СайтСкор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в базе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Scopus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учитывается за год публикации либо за год, предшествующий году публикации либо на момент защиты диссертации.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При защите диссертаций, содержащих государственные секреты или сведения для служебного пользования, основные результаты диссертации публикуются не менее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чем в 7-ми (семи) публикациях по теме диссертации, в том числе не менее 4-х (четырех) статей – в научных изданиях, включенных в Перечень изданий.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Для лиц, защитивших диссертации за рубежом, учитываются научные труды (в том числе 1 (одна) статья – в международном рецензируемом научном журнале), опубликованные по теме диссертации или соответствующему научному направлению до подачи аттестационного дела в Комитет. В качестве статьи в журнале из Перечня изданий учитываются статьи в зарубежных периодических научных изданиях.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В случае наличия научных статей в международных рецензируемых научных журналах согласно </w:t>
      </w:r>
      <w:hyperlink r:id="rId18" w:anchor="z22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пункту 6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Правил, 1 (одна) статья в таком журнале учитывается как 2 (две) статьи в изданиях, рекомендованных уполномоченным органом.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Статьи из Перечня изданий учитываются согласно Требованиям к научным изданиям для включения их в перечень изданий, рекомендуемых для публикации результатов научной деятельности, утвержденных </w:t>
      </w:r>
      <w:hyperlink r:id="rId19" w:anchor="z1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приказом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Министра образования и науки Республики Казахстан от 12 января 2016 года № 20 "Об утверждении требований к научным изданиям для включения их в перечень изданий, рекомендуемых для публикации результатов научной деятельности" (зарегистрирован в Реестре государственной регистрации нормативных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правовых актов под № 13409).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6-1.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Организации высшего и (или) послевузовского образования (далее – ОВПО) самостоятельно устанавливают требования к оформлению диссертационных работ, в том числе используемые в диссертационных работах международные стили цитирования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Harvard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style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(Гарвардский стиль), APA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American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Psychological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Association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Style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(Стиль APA), MLA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Modern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Language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Association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Style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(Стиль MLA),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Chicago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Style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(Стиль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Chicago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 ACS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American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Chemical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Society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Style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(Стиль ACS) или иные в зависимости от направления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подготовки)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."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дополнить пунктом 6-2 следующего содержания: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"6-2. В ОВПО,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имеющих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особый статус, допускается устанавливать дополнительные требования к публикациям.";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5" w:name="z54"/>
      <w:bookmarkEnd w:id="5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 </w:t>
      </w:r>
      <w:hyperlink r:id="rId20" w:anchor="z26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 12-1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изложить в следующей редакции: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"12-1. Экспертный совет открытым голосованием принимает одно из решений: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1) присудить степень доктора философии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PhD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или доктора по профилю;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2) направить диссертацию на доработку (кроме случаев защиты диссертации в форме серии статей);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      3) направить диссертацию на повторную защиту;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4) отказать в присуждении степени доктора философии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PhD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или доктора по профилю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.";</w:t>
      </w:r>
      <w:proofErr w:type="gramEnd"/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6" w:name="z60"/>
      <w:bookmarkEnd w:id="6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 </w:t>
      </w:r>
      <w:hyperlink r:id="rId21" w:anchor="z104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пункты 17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 </w:t>
      </w:r>
      <w:hyperlink r:id="rId22" w:anchor="z105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18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изложить в следующей редакции: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"17.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Лицам, которым присуждена степень доктора философии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PhD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 доктора по профилю, выдаются дипломы по форме, утвержденной </w:t>
      </w:r>
      <w:hyperlink r:id="rId23" w:anchor="z3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приказом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Министра науки и высшего образования Республики Казахстан от 10 февраля 2023 года № 47 "Об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 к содержанию документов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 высшем и (или) послевузовском образовании собственного образца и правил их учета и выдачи" (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зарегистрирован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Реестре государственной регистрации нормативных правовых актов под № 31894).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Информация о присуждении степени размещается на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интернет-ресурсах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Комитета в течение 3 (трех) рабочих дней со дня принятия решения.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18.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Диссертации и публикации, поступившие на рассмотрение Экспертного совета в рамках государственной услуги "Признание документов об образовании", утвержденного </w:t>
      </w:r>
      <w:hyperlink r:id="rId24" w:anchor="z0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приказом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Министра науки и высшего образования Республики Казахстан от 12 июня 2023 года № 268 "Об утверждении Правил признания документов об образовании" (зарегистрирован в Реестре государственной регистрации нормативных правовых актов под № 32800), рассматриваются на предмет соответствия </w:t>
      </w:r>
      <w:hyperlink r:id="rId25" w:anchor="z21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пунктам 5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 </w:t>
      </w:r>
      <w:hyperlink r:id="rId26" w:anchor="z22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6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 </w:t>
      </w:r>
      <w:hyperlink r:id="rId27" w:anchor="z25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7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настоящих Правил в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течение 48 (сорок восемь) рабочих дней. Заключение Экспертного совета представляется по форме согласно </w:t>
      </w:r>
      <w:hyperlink r:id="rId28" w:anchor="z90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приложению 3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к Правилам.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В случае отрицательного заключения Экспертного совета в связи с несоответствием </w:t>
      </w:r>
      <w:hyperlink r:id="rId29" w:anchor="z21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пунктам 5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 </w:t>
      </w:r>
      <w:hyperlink r:id="rId30" w:anchor="z25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7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Правил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диссертация соискателя повторному рассмотрению не подлежит.";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7" w:name="z65"/>
      <w:bookmarkEnd w:id="7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 </w:t>
      </w:r>
      <w:hyperlink r:id="rId31" w:anchor="z97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 34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изложить в следующей редакции: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"34. Лицам, которым присуждена степень доктора философии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PhD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 доктора по профилю приказом ОВПО, имеющего особый статус, выдаются дипломы собственного образца в течение 10 (десяти) рабочих дней со дня издания приказа.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Информация о присуждении степени доктора философии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PhD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), доктора по профилю размещается на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интернет-ресурсе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ОВПО, имеющих особый статус, в течение 3 (трех) рабочих дней со дня принятия решения диссертационного совета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.";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8" w:name="z68"/>
      <w:bookmarkEnd w:id="8"/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 </w:t>
      </w:r>
      <w:hyperlink r:id="rId32" w:anchor="z100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пункт 36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изложить в следующей редакции: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"36. В случае отказа в присуждении степени доктора философии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PhD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 доктора по профилю диссертация представляется докторантом на защиту повторно, но не ранее, чем через 6 (шесть) месяцев после предыдущей защиты в ОВПО, имеющем особый статус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.";</w:t>
      </w:r>
    </w:p>
    <w:p w:rsidR="00365252" w:rsidRPr="00365252" w:rsidRDefault="00365252" w:rsidP="0036525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9" w:name="z70"/>
      <w:bookmarkEnd w:id="9"/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 </w:t>
      </w:r>
      <w:hyperlink r:id="rId33" w:anchor="z90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приложение 3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к Правилам присуждения степеней изложить в новой редакции согласно </w:t>
      </w:r>
      <w:hyperlink r:id="rId34" w:anchor="z81" w:history="1">
        <w:r w:rsidRPr="00365252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приложению</w:t>
        </w:r>
      </w:hyperlink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к настоящему приказу.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      1) государственную регистрацию настоящего приказа в Министерстве юстиции Республики Казахстан;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2) размещение настоящего приказа на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интернет-ресурсе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Министерства науки и высшего образования Республики Казахстан после его официального опубликования.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3. Контроль за исполнением настоящего приказа возложить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курирующего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вице-министра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науки и высшего образования Республики Казахстан.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264"/>
        <w:gridCol w:w="3905"/>
      </w:tblGrid>
      <w:tr w:rsidR="00365252" w:rsidRPr="00365252" w:rsidTr="0036525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    </w:t>
            </w:r>
            <w:bookmarkStart w:id="10" w:name="z76"/>
            <w:bookmarkEnd w:id="10"/>
            <w:r w:rsidRPr="003652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Министр науки и высшего образования</w:t>
            </w:r>
            <w:r w:rsidRPr="003652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252" w:rsidRDefault="00365252" w:rsidP="0036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365252" w:rsidRDefault="00365252" w:rsidP="0036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С. </w:t>
            </w:r>
            <w:proofErr w:type="spellStart"/>
            <w:r w:rsidRPr="003652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Нурбек</w:t>
            </w:r>
            <w:proofErr w:type="spellEnd"/>
          </w:p>
        </w:tc>
      </w:tr>
    </w:tbl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"Согласован"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Генеральный прокурор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Республики Казахстан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"Согласован"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Министр обороны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Республики Казахстан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"Согласован"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Министр внутренних дел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Республики Казахстан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"Согласован"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Председатель Комитета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Национальной безопасности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Республики Казахстан</w:t>
      </w: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65252" w:rsidRPr="00365252" w:rsidTr="003652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252" w:rsidRPr="00365252" w:rsidRDefault="00365252" w:rsidP="00365252">
            <w:pPr>
              <w:spacing w:after="0" w:line="240" w:lineRule="auto"/>
              <w:ind w:right="1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z81"/>
            <w:bookmarkEnd w:id="11"/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приказу</w:t>
            </w:r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Министр науки и высшего</w:t>
            </w:r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 Республики Казахстан</w:t>
            </w:r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18 июля 2024 года № 352</w:t>
            </w:r>
          </w:p>
        </w:tc>
      </w:tr>
      <w:tr w:rsidR="00365252" w:rsidRPr="00365252" w:rsidTr="003652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z82"/>
            <w:bookmarkEnd w:id="12"/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Правилам присуждения</w:t>
            </w:r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степеней</w:t>
            </w:r>
          </w:p>
        </w:tc>
      </w:tr>
      <w:tr w:rsidR="00365252" w:rsidRPr="00365252" w:rsidTr="003652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z83"/>
            <w:bookmarkEnd w:id="13"/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365252" w:rsidRPr="00365252" w:rsidRDefault="00365252" w:rsidP="00365252">
      <w:pPr>
        <w:spacing w:before="188" w:after="113" w:line="32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1E1E1E"/>
          <w:sz w:val="24"/>
          <w:szCs w:val="24"/>
        </w:rPr>
        <w:t>                              Заключение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Экспертного совета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_____________________________________________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714"/>
        <w:gridCol w:w="7455"/>
      </w:tblGrid>
      <w:tr w:rsidR="00365252" w:rsidRPr="00365252" w:rsidTr="0036525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252" w:rsidRPr="00365252" w:rsidRDefault="00365252" w:rsidP="00365252">
            <w:pPr>
              <w:spacing w:after="360" w:line="23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652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протокол № ____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252" w:rsidRPr="00365252" w:rsidRDefault="00365252" w:rsidP="00365252">
            <w:pPr>
              <w:spacing w:after="360" w:line="23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652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 “____”__________ 20__г</w:t>
            </w:r>
            <w:proofErr w:type="gramStart"/>
            <w:r w:rsidRPr="003652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525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качать</w:t>
            </w:r>
          </w:p>
        </w:tc>
      </w:tr>
    </w:tbl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      Дело №___________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Материалы дела - диссертация, список публикаций, копии публикаций, копия документа.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Соискатель___________________________________________________________________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(фамилия, имя, отчество (при его наличии) (далее - Ф.И.О.))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по ходатайству (личному заявлению) 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о признании документа о присуждении степени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по специальности/образовательной программе ____________________________________,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полученной в 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                        (страна, организация)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Тема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диссертации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Заслушав эксперта 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                  (Ф.И.О (при его наличии).)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и обсудив материалы дела, Экспертный совет отмечает следующее: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1. Оценка актуальности темы диссертации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(соответствие развитию науки и техники, запросам общественной практики)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2. Соблюдение в диссертации принципа самостоятельности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3. Соблюдение в диссертации принципа внутреннего единства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4. Соблюдение в диссертации принципа научной новизны, основные научные результаты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5. Соблюдение в диссертации принципа достоверности 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6. Соблюдение в диссертации принципа практической ценности: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(промышленное внедрение, опытно-промышленные, лабораторные испытания,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использование в учебном процессе) 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_____________________________________________________________________________;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(теоретические рекомендации по использованию научных результатов)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_____________________________________________________________________________.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7. Соблюдение в диссертации принципа академической честности, наличие в диссертации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заимствованного материала без ссылки на автора и источник заимствования (плагиат)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                  (плагиат есть или нет)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При наличии плагиата приводится сравнительная таблица с указанием источника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заимствования.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8.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Соискателем опубликовано: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всего научных трудов _______;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в том числе: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в изданиях, рекомендуемых Комитетом _________;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в зарубежных научных изданиях _______________;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в международных рецензируемых журналах, имеющих ненулевой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импакт-фактор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или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индексируемых в базе данных информационной компании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Clarivate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Analytics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Кларивэйт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Аналитикс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Web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of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Science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Core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Collection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Clarivate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Analytics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Вэб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Сайнс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Кор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Коллекшн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Кларивэйт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Аналитикс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)) _____;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входящих в базу данных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Scopus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Скопус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)____;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 другие публикации.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Публикации 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      (соответствуют или не соответствуют)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пункту 6 Правил.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      9. </w:t>
      </w:r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Решение Экспертного совета (заполняется один из подпунктов):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1) Диссертация и публикации соискателя соответствует требованиям пунктов 5, 6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и 7 Правил, Экспертный совет рекомендует признать документ о присуждении ученой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степени 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                  (Ф.И.О (при его наличии)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соответствующим 8 (восьмому) уровню Национальной рамки квалификации Республики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Казахстан 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(степени доктора философии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PhD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/ доктора по профилю)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по направлению подготовки__________________________________________________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2) диссертация и публикации соискателя не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соответствуют пункту 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_____Правил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___________________________________________________________________________.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(указывается каким пунктам настоящих Правил не соответствует аттестационное дело)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Экспертный совет рекомендует отказать соискателю_______________________________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            (Ф.И.О (при его наличии).)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(степени доктора философии (</w:t>
      </w:r>
      <w:proofErr w:type="spell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PhD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/ доктора по профилю)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в признании документа о присуждении ученой </w:t>
      </w:r>
      <w:proofErr w:type="spellStart"/>
      <w:proofErr w:type="gramStart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proofErr w:type="gram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тепени_____________________________</w:t>
      </w:r>
      <w:proofErr w:type="spellEnd"/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Результаты голосования:                   "за" 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                        "против" 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                        "воздержался" ___________</w:t>
      </w:r>
    </w:p>
    <w:p w:rsidR="00365252" w:rsidRPr="00365252" w:rsidRDefault="00365252" w:rsidP="00365252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Председатель 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(Ф.И.О (при его наличии))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Ученый секретарь 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      (Ф.И.О (при его наличии))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Эксперт ____________________________________</w:t>
      </w:r>
      <w:r w:rsidRPr="003652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                  (Ф.И.О (при его наличии))</w:t>
      </w:r>
    </w:p>
    <w:p w:rsidR="00000000" w:rsidRPr="00365252" w:rsidRDefault="00365252" w:rsidP="00365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252" w:rsidRPr="00365252" w:rsidRDefault="003652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5252" w:rsidRPr="0036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37AD"/>
    <w:multiLevelType w:val="multilevel"/>
    <w:tmpl w:val="8188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5252"/>
    <w:rsid w:val="0036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65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2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652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6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5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100006951" TargetMode="External"/><Relationship Id="rId13" Type="http://schemas.openxmlformats.org/officeDocument/2006/relationships/hyperlink" Target="https://adilet.zan.kz/rus/docs/V1100006951" TargetMode="External"/><Relationship Id="rId18" Type="http://schemas.openxmlformats.org/officeDocument/2006/relationships/hyperlink" Target="https://adilet.zan.kz/rus/docs/V1100006951" TargetMode="External"/><Relationship Id="rId26" Type="http://schemas.openxmlformats.org/officeDocument/2006/relationships/hyperlink" Target="https://adilet.zan.kz/rus/docs/V11000069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1100006951" TargetMode="External"/><Relationship Id="rId34" Type="http://schemas.openxmlformats.org/officeDocument/2006/relationships/hyperlink" Target="https://adilet.zan.kz/rus/docs/V2400034781" TargetMode="External"/><Relationship Id="rId7" Type="http://schemas.openxmlformats.org/officeDocument/2006/relationships/hyperlink" Target="https://adilet.zan.kz/rus/docs/P2200000580" TargetMode="External"/><Relationship Id="rId12" Type="http://schemas.openxmlformats.org/officeDocument/2006/relationships/hyperlink" Target="https://adilet.zan.kz/rus/docs/Z2400000103" TargetMode="External"/><Relationship Id="rId17" Type="http://schemas.openxmlformats.org/officeDocument/2006/relationships/hyperlink" Target="https://adilet.zan.kz/rus/docs/V1100006951" TargetMode="External"/><Relationship Id="rId25" Type="http://schemas.openxmlformats.org/officeDocument/2006/relationships/hyperlink" Target="https://adilet.zan.kz/rus/docs/V1100006951" TargetMode="External"/><Relationship Id="rId33" Type="http://schemas.openxmlformats.org/officeDocument/2006/relationships/hyperlink" Target="https://adilet.zan.kz/rus/docs/V11000069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100006951" TargetMode="External"/><Relationship Id="rId20" Type="http://schemas.openxmlformats.org/officeDocument/2006/relationships/hyperlink" Target="https://adilet.zan.kz/rus/docs/V1100006951" TargetMode="External"/><Relationship Id="rId29" Type="http://schemas.openxmlformats.org/officeDocument/2006/relationships/hyperlink" Target="https://adilet.zan.kz/rus/docs/V11000069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100006951" TargetMode="External"/><Relationship Id="rId11" Type="http://schemas.openxmlformats.org/officeDocument/2006/relationships/hyperlink" Target="https://adilet.zan.kz/rus/docs/V1100006951" TargetMode="External"/><Relationship Id="rId24" Type="http://schemas.openxmlformats.org/officeDocument/2006/relationships/hyperlink" Target="https://adilet.zan.kz/rus/docs/V2300032800" TargetMode="External"/><Relationship Id="rId32" Type="http://schemas.openxmlformats.org/officeDocument/2006/relationships/hyperlink" Target="https://adilet.zan.kz/rus/docs/V1100006951" TargetMode="External"/><Relationship Id="rId5" Type="http://schemas.openxmlformats.org/officeDocument/2006/relationships/hyperlink" Target="https://adilet.zan.kz/rus/docs/V1100006951" TargetMode="External"/><Relationship Id="rId15" Type="http://schemas.openxmlformats.org/officeDocument/2006/relationships/hyperlink" Target="https://adilet.zan.kz/rus/docs/V1100006951" TargetMode="External"/><Relationship Id="rId23" Type="http://schemas.openxmlformats.org/officeDocument/2006/relationships/hyperlink" Target="https://adilet.zan.kz/rus/docs/V2300031894" TargetMode="External"/><Relationship Id="rId28" Type="http://schemas.openxmlformats.org/officeDocument/2006/relationships/hyperlink" Target="https://adilet.zan.kz/rus/docs/V110000695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ilet.zan.kz/rus/docs/P2200000580" TargetMode="External"/><Relationship Id="rId19" Type="http://schemas.openxmlformats.org/officeDocument/2006/relationships/hyperlink" Target="https://adilet.zan.kz/rus/docs/V1600013409" TargetMode="External"/><Relationship Id="rId31" Type="http://schemas.openxmlformats.org/officeDocument/2006/relationships/hyperlink" Target="https://adilet.zan.kz/rus/docs/V1100006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100006951" TargetMode="External"/><Relationship Id="rId14" Type="http://schemas.openxmlformats.org/officeDocument/2006/relationships/hyperlink" Target="https://adilet.zan.kz/rus/docs/V1100006951" TargetMode="External"/><Relationship Id="rId22" Type="http://schemas.openxmlformats.org/officeDocument/2006/relationships/hyperlink" Target="https://adilet.zan.kz/rus/docs/V1100006951" TargetMode="External"/><Relationship Id="rId27" Type="http://schemas.openxmlformats.org/officeDocument/2006/relationships/hyperlink" Target="https://adilet.zan.kz/rus/docs/V1100006951" TargetMode="External"/><Relationship Id="rId30" Type="http://schemas.openxmlformats.org/officeDocument/2006/relationships/hyperlink" Target="https://adilet.zan.kz/rus/docs/V110000695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4100</Words>
  <Characters>23375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TleuzhanovaGK</dc:creator>
  <cp:lastModifiedBy>TleuzhanovaGK</cp:lastModifiedBy>
  <cp:revision>2</cp:revision>
  <dcterms:created xsi:type="dcterms:W3CDTF">2024-10-09T09:34:00Z</dcterms:created>
  <dcterms:modified xsi:type="dcterms:W3CDTF">2024-10-09T09:34:00Z</dcterms:modified>
</cp:coreProperties>
</file>